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9B28F2" w:rsidRPr="00BE72C0" w:rsidRDefault="009B28F2" w:rsidP="00BE72C0">
      <w:pPr>
        <w:spacing w:line="480" w:lineRule="auto"/>
        <w:contextualSpacing/>
        <w:jc w:val="center"/>
        <w:rPr>
          <w:rFonts w:ascii="Times New Roman" w:hAnsi="Times New Roman" w:cs="Times New Roman"/>
          <w:sz w:val="24"/>
          <w:szCs w:val="24"/>
        </w:rPr>
      </w:pPr>
    </w:p>
    <w:p w:rsidR="00A90D9C" w:rsidRPr="00BE72C0" w:rsidRDefault="002314DB" w:rsidP="00BE72C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Lawrence V. Texas</w:t>
      </w:r>
    </w:p>
    <w:p w:rsidR="00A90D9C" w:rsidRPr="00BE72C0" w:rsidRDefault="009B28F2" w:rsidP="00BE72C0">
      <w:pPr>
        <w:spacing w:line="480" w:lineRule="auto"/>
        <w:contextualSpacing/>
        <w:jc w:val="center"/>
        <w:rPr>
          <w:rFonts w:ascii="Times New Roman" w:hAnsi="Times New Roman" w:cs="Times New Roman"/>
          <w:sz w:val="24"/>
          <w:szCs w:val="24"/>
        </w:rPr>
      </w:pPr>
      <w:r w:rsidRPr="00BE72C0">
        <w:rPr>
          <w:rFonts w:ascii="Times New Roman" w:hAnsi="Times New Roman" w:cs="Times New Roman"/>
          <w:sz w:val="24"/>
          <w:szCs w:val="24"/>
        </w:rPr>
        <w:t>Student’s Name</w:t>
      </w:r>
    </w:p>
    <w:p w:rsidR="009B28F2" w:rsidRPr="00BE72C0" w:rsidRDefault="009B28F2" w:rsidP="00BE72C0">
      <w:pPr>
        <w:spacing w:line="480" w:lineRule="auto"/>
        <w:contextualSpacing/>
        <w:jc w:val="center"/>
        <w:rPr>
          <w:rFonts w:ascii="Times New Roman" w:hAnsi="Times New Roman" w:cs="Times New Roman"/>
          <w:sz w:val="24"/>
          <w:szCs w:val="24"/>
        </w:rPr>
      </w:pPr>
      <w:r w:rsidRPr="00BE72C0">
        <w:rPr>
          <w:rFonts w:ascii="Times New Roman" w:hAnsi="Times New Roman" w:cs="Times New Roman"/>
          <w:sz w:val="24"/>
          <w:szCs w:val="24"/>
        </w:rPr>
        <w:t>Institutional Affiliation</w:t>
      </w:r>
    </w:p>
    <w:p w:rsidR="00A90D9C" w:rsidRPr="00BE72C0" w:rsidRDefault="009B28F2" w:rsidP="002314DB">
      <w:pPr>
        <w:spacing w:line="480" w:lineRule="auto"/>
        <w:contextualSpacing/>
        <w:rPr>
          <w:rFonts w:ascii="Times New Roman" w:hAnsi="Times New Roman" w:cs="Times New Roman"/>
          <w:sz w:val="24"/>
          <w:szCs w:val="24"/>
        </w:rPr>
      </w:pPr>
      <w:r w:rsidRPr="00BE72C0">
        <w:rPr>
          <w:rFonts w:ascii="Times New Roman" w:hAnsi="Times New Roman" w:cs="Times New Roman"/>
          <w:sz w:val="24"/>
          <w:szCs w:val="24"/>
        </w:rPr>
        <w:br w:type="page"/>
      </w:r>
    </w:p>
    <w:p w:rsidR="00A90D9C" w:rsidRPr="00BE72C0" w:rsidRDefault="00A90D9C" w:rsidP="00BE72C0">
      <w:pPr>
        <w:spacing w:line="480" w:lineRule="auto"/>
        <w:contextualSpacing/>
        <w:jc w:val="center"/>
        <w:rPr>
          <w:rFonts w:ascii="Times New Roman" w:hAnsi="Times New Roman" w:cs="Times New Roman"/>
          <w:b/>
          <w:sz w:val="24"/>
          <w:szCs w:val="24"/>
        </w:rPr>
      </w:pPr>
      <w:r w:rsidRPr="00BE72C0">
        <w:rPr>
          <w:rFonts w:ascii="Times New Roman" w:hAnsi="Times New Roman" w:cs="Times New Roman"/>
          <w:b/>
          <w:sz w:val="24"/>
          <w:szCs w:val="24"/>
        </w:rPr>
        <w:lastRenderedPageBreak/>
        <w:t>Lawrence v. Texas</w:t>
      </w:r>
    </w:p>
    <w:p w:rsidR="00E05DD0" w:rsidRPr="00CD7A9F" w:rsidRDefault="000B0B9E" w:rsidP="00CD7A9F">
      <w:pPr>
        <w:spacing w:after="0" w:line="480" w:lineRule="auto"/>
        <w:contextualSpacing/>
        <w:rPr>
          <w:rFonts w:ascii="Times New Roman" w:hAnsi="Times New Roman" w:cs="Times New Roman"/>
          <w:b/>
          <w:sz w:val="24"/>
          <w:szCs w:val="24"/>
        </w:rPr>
      </w:pPr>
      <w:r w:rsidRPr="00CD7A9F">
        <w:rPr>
          <w:rFonts w:ascii="Times New Roman" w:hAnsi="Times New Roman" w:cs="Times New Roman"/>
          <w:b/>
          <w:sz w:val="24"/>
          <w:szCs w:val="24"/>
        </w:rPr>
        <w:t>Summary of Case Facts</w:t>
      </w:r>
    </w:p>
    <w:p w:rsidR="000B0B9E"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In a ruling made on twenty-sixth June 2003, </w:t>
      </w:r>
      <w:r w:rsidR="00DB5B03" w:rsidRPr="00BE72C0">
        <w:rPr>
          <w:rFonts w:ascii="Times New Roman" w:hAnsi="Times New Roman" w:cs="Times New Roman"/>
          <w:sz w:val="24"/>
          <w:szCs w:val="24"/>
        </w:rPr>
        <w:t>American supreme court</w:t>
      </w:r>
      <w:r w:rsidRPr="00BE72C0">
        <w:rPr>
          <w:rFonts w:ascii="Times New Roman" w:hAnsi="Times New Roman" w:cs="Times New Roman"/>
          <w:sz w:val="24"/>
          <w:szCs w:val="24"/>
        </w:rPr>
        <w:t xml:space="preserve"> </w:t>
      </w:r>
      <w:r w:rsidR="00826BC6" w:rsidRPr="00BE72C0">
        <w:rPr>
          <w:rFonts w:ascii="Times New Roman" w:hAnsi="Times New Roman" w:cs="Times New Roman"/>
          <w:sz w:val="24"/>
          <w:szCs w:val="24"/>
        </w:rPr>
        <w:t>nullified</w:t>
      </w:r>
      <w:r w:rsidRPr="00BE72C0">
        <w:rPr>
          <w:rFonts w:ascii="Times New Roman" w:hAnsi="Times New Roman" w:cs="Times New Roman"/>
          <w:sz w:val="24"/>
          <w:szCs w:val="24"/>
        </w:rPr>
        <w:t xml:space="preserve"> a Texas Court</w:t>
      </w:r>
      <w:r w:rsidR="006023F0" w:rsidRPr="00BE72C0">
        <w:rPr>
          <w:rFonts w:ascii="Times New Roman" w:hAnsi="Times New Roman" w:cs="Times New Roman"/>
          <w:sz w:val="24"/>
          <w:szCs w:val="24"/>
        </w:rPr>
        <w:t xml:space="preserve"> </w:t>
      </w:r>
      <w:r w:rsidR="00826BC6" w:rsidRPr="00BE72C0">
        <w:rPr>
          <w:rFonts w:ascii="Times New Roman" w:hAnsi="Times New Roman" w:cs="Times New Roman"/>
          <w:sz w:val="24"/>
          <w:szCs w:val="24"/>
        </w:rPr>
        <w:t>ruling</w:t>
      </w:r>
      <w:r w:rsidRPr="00BE72C0">
        <w:rPr>
          <w:rFonts w:ascii="Times New Roman" w:hAnsi="Times New Roman" w:cs="Times New Roman"/>
          <w:sz w:val="24"/>
          <w:szCs w:val="24"/>
        </w:rPr>
        <w:t xml:space="preserve"> which had made a crime for two men performing sexual acts in private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Lawrence v. Texas, 2019)</w:t>
      </w:r>
      <w:r w:rsidRPr="00BE72C0">
        <w:rPr>
          <w:rFonts w:ascii="Times New Roman" w:hAnsi="Times New Roman" w:cs="Times New Roman"/>
          <w:sz w:val="24"/>
          <w:szCs w:val="24"/>
        </w:rPr>
        <w:t xml:space="preserve">. The sweeping decision by the </w:t>
      </w:r>
      <w:r w:rsidR="002314DB" w:rsidRPr="00BE72C0">
        <w:rPr>
          <w:rFonts w:ascii="Times New Roman" w:hAnsi="Times New Roman" w:cs="Times New Roman"/>
          <w:sz w:val="24"/>
          <w:szCs w:val="24"/>
        </w:rPr>
        <w:t>Supreme Court</w:t>
      </w:r>
      <w:r w:rsidRPr="00BE72C0">
        <w:rPr>
          <w:rFonts w:ascii="Times New Roman" w:hAnsi="Times New Roman" w:cs="Times New Roman"/>
          <w:sz w:val="24"/>
          <w:szCs w:val="24"/>
        </w:rPr>
        <w:t xml:space="preserve"> on Lawrence v. Texas </w:t>
      </w:r>
      <w:r w:rsidR="00CD7A9F">
        <w:rPr>
          <w:rFonts w:ascii="Times New Roman" w:hAnsi="Times New Roman" w:cs="Times New Roman"/>
          <w:sz w:val="24"/>
          <w:szCs w:val="24"/>
        </w:rPr>
        <w:t xml:space="preserve">arrested </w:t>
      </w:r>
      <w:r w:rsidRPr="00BE72C0">
        <w:rPr>
          <w:rFonts w:ascii="Times New Roman" w:hAnsi="Times New Roman" w:cs="Times New Roman"/>
          <w:sz w:val="24"/>
          <w:szCs w:val="24"/>
        </w:rPr>
        <w:t xml:space="preserve">that the due process privacy guarantee of Amendment </w:t>
      </w:r>
      <w:r w:rsidR="006023F0" w:rsidRPr="00BE72C0">
        <w:rPr>
          <w:rFonts w:ascii="Times New Roman" w:hAnsi="Times New Roman" w:cs="Times New Roman"/>
          <w:sz w:val="24"/>
          <w:szCs w:val="24"/>
        </w:rPr>
        <w:t xml:space="preserve">four </w:t>
      </w:r>
      <w:r w:rsidRPr="00BE72C0">
        <w:rPr>
          <w:rFonts w:ascii="Times New Roman" w:hAnsi="Times New Roman" w:cs="Times New Roman"/>
          <w:sz w:val="24"/>
          <w:szCs w:val="24"/>
        </w:rPr>
        <w:t>should also be applicable in contextual same-gender sex.</w:t>
      </w:r>
      <w:r w:rsidR="00826BC6"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To confirm whether the Texas statute had adhered to the equal protection guideline as per the constitution</w:t>
      </w:r>
      <w:r w:rsidRPr="00BE72C0">
        <w:rPr>
          <w:rFonts w:ascii="Times New Roman" w:hAnsi="Times New Roman" w:cs="Times New Roman"/>
          <w:sz w:val="24"/>
          <w:szCs w:val="24"/>
        </w:rPr>
        <w:t xml:space="preserve">, the court based the decision on broader privacy notions. </w:t>
      </w:r>
    </w:p>
    <w:p w:rsidR="00CD7A9F" w:rsidRPr="00CD7A9F" w:rsidRDefault="00CD7A9F" w:rsidP="00CD7A9F">
      <w:pPr>
        <w:spacing w:after="0" w:line="480" w:lineRule="auto"/>
        <w:contextualSpacing/>
        <w:jc w:val="center"/>
        <w:rPr>
          <w:rFonts w:ascii="Times New Roman" w:hAnsi="Times New Roman" w:cs="Times New Roman"/>
          <w:b/>
          <w:sz w:val="24"/>
          <w:szCs w:val="24"/>
        </w:rPr>
      </w:pPr>
      <w:r w:rsidRPr="00CD7A9F">
        <w:rPr>
          <w:rFonts w:ascii="Times New Roman" w:hAnsi="Times New Roman" w:cs="Times New Roman"/>
          <w:b/>
          <w:sz w:val="24"/>
          <w:szCs w:val="24"/>
        </w:rPr>
        <w:t>Human Rights Violation</w:t>
      </w:r>
    </w:p>
    <w:p w:rsidR="00E05DD0" w:rsidRPr="00CD7A9F" w:rsidRDefault="00E05DD0" w:rsidP="00CD7A9F">
      <w:pPr>
        <w:spacing w:after="0" w:line="480" w:lineRule="auto"/>
        <w:contextualSpacing/>
        <w:rPr>
          <w:rFonts w:ascii="Times New Roman" w:hAnsi="Times New Roman" w:cs="Times New Roman"/>
          <w:b/>
          <w:sz w:val="24"/>
          <w:szCs w:val="24"/>
        </w:rPr>
      </w:pPr>
      <w:r w:rsidRPr="00CD7A9F">
        <w:rPr>
          <w:rFonts w:ascii="Times New Roman" w:hAnsi="Times New Roman" w:cs="Times New Roman"/>
          <w:b/>
          <w:sz w:val="24"/>
          <w:szCs w:val="24"/>
        </w:rPr>
        <w:t>Case Background</w:t>
      </w:r>
    </w:p>
    <w:p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 In the case of Lawrence v. Texas (530 U. S 553) was </w:t>
      </w:r>
      <w:r w:rsidR="00826BC6" w:rsidRPr="00BE72C0">
        <w:rPr>
          <w:rFonts w:ascii="Times New Roman" w:hAnsi="Times New Roman" w:cs="Times New Roman"/>
          <w:sz w:val="24"/>
          <w:szCs w:val="24"/>
        </w:rPr>
        <w:t>the</w:t>
      </w:r>
      <w:r w:rsidRPr="00BE72C0">
        <w:rPr>
          <w:rFonts w:ascii="Times New Roman" w:hAnsi="Times New Roman" w:cs="Times New Roman"/>
          <w:sz w:val="24"/>
          <w:szCs w:val="24"/>
        </w:rPr>
        <w:t xml:space="preserve"> Supreme Court</w:t>
      </w:r>
      <w:r w:rsidR="00826BC6" w:rsidRPr="00BE72C0">
        <w:rPr>
          <w:rFonts w:ascii="Times New Roman" w:hAnsi="Times New Roman" w:cs="Times New Roman"/>
          <w:sz w:val="24"/>
          <w:szCs w:val="24"/>
        </w:rPr>
        <w:t xml:space="preserve"> of America</w:t>
      </w:r>
      <w:r w:rsidRPr="00BE72C0">
        <w:rPr>
          <w:rFonts w:ascii="Times New Roman" w:hAnsi="Times New Roman" w:cs="Times New Roman"/>
          <w:sz w:val="24"/>
          <w:szCs w:val="24"/>
        </w:rPr>
        <w:t xml:space="preserve"> case on the crimina</w:t>
      </w:r>
      <w:r w:rsidR="00CD7A9F">
        <w:rPr>
          <w:rFonts w:ascii="Times New Roman" w:hAnsi="Times New Roman" w:cs="Times New Roman"/>
          <w:sz w:val="24"/>
          <w:szCs w:val="24"/>
        </w:rPr>
        <w:t>l prohibition of the homosexual</w:t>
      </w:r>
      <w:r w:rsidRPr="00BE72C0">
        <w:rPr>
          <w:rFonts w:ascii="Times New Roman" w:hAnsi="Times New Roman" w:cs="Times New Roman"/>
          <w:sz w:val="24"/>
          <w:szCs w:val="24"/>
        </w:rPr>
        <w:t xml:space="preserve"> which was nullified in Texas.  The petitioner, Lawrence, was found in his private room having consensual sex with another man, who was also an adult. The two were arrested on the bias of violating the sodomy law. After the petitioners were convicted and fined, Lawrence filed an appeal arguing that the homosexual conduct law was unlawful since it was biased against homosexual in violation of the equal protection </w:t>
      </w:r>
      <w:r w:rsidR="00CD7A9F" w:rsidRPr="00BE72C0">
        <w:rPr>
          <w:rFonts w:ascii="Times New Roman" w:hAnsi="Times New Roman" w:cs="Times New Roman"/>
          <w:sz w:val="24"/>
          <w:szCs w:val="24"/>
        </w:rPr>
        <w:t>clause (</w:t>
      </w:r>
      <w:r w:rsidR="000F5171" w:rsidRPr="00BE72C0">
        <w:rPr>
          <w:rFonts w:ascii="Times New Roman" w:hAnsi="Times New Roman" w:cs="Times New Roman"/>
          <w:sz w:val="24"/>
          <w:szCs w:val="24"/>
          <w:shd w:val="clear" w:color="auto" w:fill="FFFFFF"/>
        </w:rPr>
        <w:t>Lawrence v. Texas, 2019)</w:t>
      </w:r>
      <w:r w:rsidRPr="00BE72C0">
        <w:rPr>
          <w:rFonts w:ascii="Times New Roman" w:hAnsi="Times New Roman" w:cs="Times New Roman"/>
          <w:sz w:val="24"/>
          <w:szCs w:val="24"/>
        </w:rPr>
        <w:t xml:space="preserve">. During the hearing, the petitioner argued that the law violates their constitutional right in equal protection, privacy and due process under the fourteenth amendment. The ruling on this case had many effects throughout the US and resulted in the invalidation of related laws which would criminalize homosexuality amongst adults when it was being done privately and in consent. </w:t>
      </w:r>
    </w:p>
    <w:p w:rsidR="00E05DD0" w:rsidRPr="00CD7A9F" w:rsidRDefault="00E05DD0" w:rsidP="00CD7A9F">
      <w:pPr>
        <w:spacing w:after="0" w:line="480" w:lineRule="auto"/>
        <w:contextualSpacing/>
        <w:rPr>
          <w:rFonts w:ascii="Times New Roman" w:hAnsi="Times New Roman" w:cs="Times New Roman"/>
          <w:b/>
          <w:sz w:val="24"/>
          <w:szCs w:val="24"/>
        </w:rPr>
      </w:pPr>
      <w:r w:rsidRPr="00CD7A9F">
        <w:rPr>
          <w:rFonts w:ascii="Times New Roman" w:hAnsi="Times New Roman" w:cs="Times New Roman"/>
          <w:b/>
          <w:sz w:val="24"/>
          <w:szCs w:val="24"/>
        </w:rPr>
        <w:t>Petitioners</w:t>
      </w:r>
    </w:p>
    <w:p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lastRenderedPageBreak/>
        <w:t xml:space="preserve">The petitioners in this case were John Lawrence </w:t>
      </w:r>
      <w:r w:rsidR="006023F0" w:rsidRPr="00BE72C0">
        <w:rPr>
          <w:rFonts w:ascii="Times New Roman" w:hAnsi="Times New Roman" w:cs="Times New Roman"/>
          <w:sz w:val="24"/>
          <w:szCs w:val="24"/>
        </w:rPr>
        <w:t xml:space="preserve">a medical practitioner in his sixties and Garner, a barbecue vendor in his </w:t>
      </w:r>
      <w:r w:rsidR="00826BC6" w:rsidRPr="00BE72C0">
        <w:rPr>
          <w:rFonts w:ascii="Times New Roman" w:hAnsi="Times New Roman" w:cs="Times New Roman"/>
          <w:sz w:val="24"/>
          <w:szCs w:val="24"/>
        </w:rPr>
        <w:t>mid-thirties.</w:t>
      </w:r>
      <w:r w:rsidRPr="00BE72C0">
        <w:rPr>
          <w:rFonts w:ascii="Times New Roman" w:hAnsi="Times New Roman" w:cs="Times New Roman"/>
          <w:sz w:val="24"/>
          <w:szCs w:val="24"/>
        </w:rPr>
        <w:t xml:space="preserve"> The two </w:t>
      </w:r>
      <w:r w:rsidR="006023F0" w:rsidRPr="00BE72C0">
        <w:rPr>
          <w:rFonts w:ascii="Times New Roman" w:hAnsi="Times New Roman" w:cs="Times New Roman"/>
          <w:sz w:val="24"/>
          <w:szCs w:val="24"/>
        </w:rPr>
        <w:t>got</w:t>
      </w:r>
      <w:r w:rsidRPr="00BE72C0">
        <w:rPr>
          <w:rFonts w:ascii="Times New Roman" w:hAnsi="Times New Roman" w:cs="Times New Roman"/>
          <w:sz w:val="24"/>
          <w:szCs w:val="24"/>
        </w:rPr>
        <w:t xml:space="preserve"> caught by the police </w:t>
      </w:r>
      <w:r w:rsidR="00CD7A9F">
        <w:rPr>
          <w:rFonts w:ascii="Times New Roman" w:hAnsi="Times New Roman" w:cs="Times New Roman"/>
          <w:sz w:val="24"/>
          <w:szCs w:val="24"/>
        </w:rPr>
        <w:t>making love in</w:t>
      </w:r>
      <w:r w:rsidRPr="00BE72C0">
        <w:rPr>
          <w:rFonts w:ascii="Times New Roman" w:hAnsi="Times New Roman" w:cs="Times New Roman"/>
          <w:sz w:val="24"/>
          <w:szCs w:val="24"/>
        </w:rPr>
        <w:t xml:space="preserve"> private room inside the house of Lawrence in Houston in seventeenth September 1998. The police entered the house freely and arrested the two. Findings later showed that this case was reported by forty-one-year-old Roger David Nance, who filed a report claiming that Lawrence was in possession of weapons inside his apartment, Nance admitted to giving a false statement to the police, and he served a jail term of fifteen days. </w:t>
      </w:r>
    </w:p>
    <w:p w:rsidR="00E05DD0" w:rsidRPr="004809FC" w:rsidRDefault="00E05DD0" w:rsidP="004809FC">
      <w:pPr>
        <w:spacing w:after="0" w:line="480" w:lineRule="auto"/>
        <w:contextualSpacing/>
        <w:rPr>
          <w:rFonts w:ascii="Times New Roman" w:hAnsi="Times New Roman" w:cs="Times New Roman"/>
          <w:b/>
          <w:sz w:val="24"/>
          <w:szCs w:val="24"/>
        </w:rPr>
      </w:pPr>
      <w:r w:rsidRPr="004809FC">
        <w:rPr>
          <w:rFonts w:ascii="Times New Roman" w:hAnsi="Times New Roman" w:cs="Times New Roman"/>
          <w:b/>
          <w:sz w:val="24"/>
          <w:szCs w:val="24"/>
        </w:rPr>
        <w:t>Equal Protection</w:t>
      </w:r>
    </w:p>
    <w:p w:rsidR="00E05DD0" w:rsidRPr="00BE72C0" w:rsidRDefault="00E05DD0" w:rsidP="00996764">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Despite </w:t>
      </w:r>
      <w:r w:rsidR="004809FC" w:rsidRPr="00BE72C0">
        <w:rPr>
          <w:rFonts w:ascii="Times New Roman" w:hAnsi="Times New Roman" w:cs="Times New Roman"/>
          <w:sz w:val="24"/>
          <w:szCs w:val="24"/>
        </w:rPr>
        <w:t>Justice</w:t>
      </w:r>
      <w:r w:rsidRPr="00BE72C0">
        <w:rPr>
          <w:rFonts w:ascii="Times New Roman" w:hAnsi="Times New Roman" w:cs="Times New Roman"/>
          <w:sz w:val="24"/>
          <w:szCs w:val="24"/>
        </w:rPr>
        <w:t xml:space="preserve"> O'Connor agreeing that the ruling by Texas court was unconstitutional, she disagreed with the majority reasoning. Instead of judging based on privacy grounds, O'Connor based her judgment on compatible opinion on the fourteenth amendment on equal protection clause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Lawrence v. Texas, 2019)</w:t>
      </w:r>
      <w:r w:rsidRPr="00BE72C0">
        <w:rPr>
          <w:rFonts w:ascii="Times New Roman" w:hAnsi="Times New Roman" w:cs="Times New Roman"/>
          <w:sz w:val="24"/>
          <w:szCs w:val="24"/>
        </w:rPr>
        <w:t>.</w:t>
      </w:r>
      <w:r w:rsidR="00545B95">
        <w:rPr>
          <w:rFonts w:ascii="Times New Roman" w:hAnsi="Times New Roman" w:cs="Times New Roman"/>
          <w:sz w:val="24"/>
          <w:szCs w:val="24"/>
        </w:rPr>
        <w:t>L</w:t>
      </w:r>
      <w:r w:rsidRPr="00BE72C0">
        <w:rPr>
          <w:rFonts w:ascii="Times New Roman" w:hAnsi="Times New Roman" w:cs="Times New Roman"/>
          <w:sz w:val="24"/>
          <w:szCs w:val="24"/>
        </w:rPr>
        <w:t>aws that are founded on suspect classification like gender or race generally get more investigation and obtain a compelling and stronger state interest to justify the minority.</w:t>
      </w:r>
    </w:p>
    <w:p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Given that sexual orientation is not categorized under suspect classification, the court only advances a rational reason for endorsing a statute which treats people differently on the basis of their sexual </w:t>
      </w:r>
      <w:r w:rsidR="00BE72C0" w:rsidRPr="00BE72C0">
        <w:rPr>
          <w:rFonts w:ascii="Times New Roman" w:hAnsi="Times New Roman" w:cs="Times New Roman"/>
          <w:sz w:val="24"/>
          <w:szCs w:val="24"/>
        </w:rPr>
        <w:t>identity (</w:t>
      </w:r>
      <w:r w:rsidR="00F65E26" w:rsidRPr="00BE72C0">
        <w:rPr>
          <w:rFonts w:ascii="Times New Roman" w:hAnsi="Times New Roman" w:cs="Times New Roman"/>
          <w:sz w:val="24"/>
          <w:szCs w:val="24"/>
          <w:shd w:val="clear" w:color="auto" w:fill="FFFFFF"/>
        </w:rPr>
        <w:t>Lemieux, 2019)</w:t>
      </w:r>
      <w:r w:rsidRPr="00BE72C0">
        <w:rPr>
          <w:rFonts w:ascii="Times New Roman" w:hAnsi="Times New Roman" w:cs="Times New Roman"/>
          <w:sz w:val="24"/>
          <w:szCs w:val="24"/>
        </w:rPr>
        <w:t xml:space="preserve">. O'Connor further argued that not all laws which distinguish homosexuals and heterosexuals violate equal protection. Particularly she explained that interests pertaining to national security constitute legitimate government </w:t>
      </w:r>
      <w:r w:rsidR="00BE72C0" w:rsidRPr="00BE72C0">
        <w:rPr>
          <w:rFonts w:ascii="Times New Roman" w:hAnsi="Times New Roman" w:cs="Times New Roman"/>
          <w:sz w:val="24"/>
          <w:szCs w:val="24"/>
        </w:rPr>
        <w:t>interests. However</w:t>
      </w:r>
      <w:r w:rsidRPr="00BE72C0">
        <w:rPr>
          <w:rFonts w:ascii="Times New Roman" w:hAnsi="Times New Roman" w:cs="Times New Roman"/>
          <w:sz w:val="24"/>
          <w:szCs w:val="24"/>
        </w:rPr>
        <w:t xml:space="preserve">, the dissent disagreed with O'Connor's equal protection analysis on the bases that Texas Court is fair since it applies equally to all genders, sexual orientations and all people subject to the same prohibition against sodomy.  </w:t>
      </w:r>
    </w:p>
    <w:p w:rsidR="00E05DD0" w:rsidRPr="004809FC" w:rsidRDefault="00E05DD0" w:rsidP="004809FC">
      <w:pPr>
        <w:spacing w:after="0" w:line="480" w:lineRule="auto"/>
        <w:contextualSpacing/>
        <w:rPr>
          <w:rFonts w:ascii="Times New Roman" w:hAnsi="Times New Roman" w:cs="Times New Roman"/>
          <w:b/>
          <w:sz w:val="24"/>
          <w:szCs w:val="24"/>
        </w:rPr>
      </w:pPr>
      <w:r w:rsidRPr="004809FC">
        <w:rPr>
          <w:rFonts w:ascii="Times New Roman" w:hAnsi="Times New Roman" w:cs="Times New Roman"/>
          <w:b/>
          <w:sz w:val="24"/>
          <w:szCs w:val="24"/>
        </w:rPr>
        <w:t xml:space="preserve">Impact of the </w:t>
      </w:r>
      <w:r w:rsidR="004809FC" w:rsidRPr="004809FC">
        <w:rPr>
          <w:rFonts w:ascii="Times New Roman" w:hAnsi="Times New Roman" w:cs="Times New Roman"/>
          <w:b/>
          <w:sz w:val="24"/>
          <w:szCs w:val="24"/>
        </w:rPr>
        <w:t>judgment</w:t>
      </w:r>
    </w:p>
    <w:p w:rsidR="00E05DD0" w:rsidRPr="00BE72C0" w:rsidRDefault="00E05DD0" w:rsidP="004809FC">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lastRenderedPageBreak/>
        <w:t xml:space="preserve">The decision was felt by both opponents and supporters of gay rights, and both parties reacted vocally to this ruling. Markedly, both parties felt </w:t>
      </w:r>
      <w:proofErr w:type="spellStart"/>
      <w:r w:rsidR="004809FC">
        <w:rPr>
          <w:rFonts w:ascii="Times New Roman" w:hAnsi="Times New Roman" w:cs="Times New Roman"/>
          <w:sz w:val="24"/>
          <w:szCs w:val="24"/>
        </w:rPr>
        <w:t>retainment</w:t>
      </w:r>
      <w:proofErr w:type="spellEnd"/>
      <w:r w:rsidRPr="00BE72C0">
        <w:rPr>
          <w:rFonts w:ascii="Times New Roman" w:hAnsi="Times New Roman" w:cs="Times New Roman"/>
          <w:sz w:val="24"/>
          <w:szCs w:val="24"/>
        </w:rPr>
        <w:t xml:space="preserve"> or defeat of homosexual laws was symbolically pivotal to their cases. Lambda Legal executive director was pleased about the decision. The director thought that this ruling proved that America had gone past the era of discrimination, disrespect and bias treatment on bases of sodomy. On the opposition viewed the entire situation differently. Focus on the family is a conservative Christian ministry in America which aims at promoting religious and conservative principles. After the court ruling, in this case, the ministry's vice president criticized the court for continuing to pillage its decisions by corrupting America's moral guidelines</w:t>
      </w:r>
      <w:r w:rsidR="000F5171" w:rsidRPr="00BE72C0">
        <w:rPr>
          <w:rFonts w:ascii="Times New Roman" w:hAnsi="Times New Roman" w:cs="Times New Roman"/>
          <w:sz w:val="24"/>
          <w:szCs w:val="24"/>
        </w:rPr>
        <w:t xml:space="preserve"> (Romero, 2017)</w:t>
      </w:r>
      <w:r w:rsidRPr="00BE72C0">
        <w:rPr>
          <w:rFonts w:ascii="Times New Roman" w:hAnsi="Times New Roman" w:cs="Times New Roman"/>
          <w:sz w:val="24"/>
          <w:szCs w:val="24"/>
        </w:rPr>
        <w:t xml:space="preserve">. However, both the supporters and opponents of the verdict </w:t>
      </w:r>
      <w:r w:rsidR="004809FC">
        <w:rPr>
          <w:rFonts w:ascii="Times New Roman" w:hAnsi="Times New Roman" w:cs="Times New Roman"/>
          <w:sz w:val="24"/>
          <w:szCs w:val="24"/>
        </w:rPr>
        <w:t>decided that activists ought to</w:t>
      </w:r>
      <w:r w:rsidRPr="00BE72C0">
        <w:rPr>
          <w:rFonts w:ascii="Times New Roman" w:hAnsi="Times New Roman" w:cs="Times New Roman"/>
          <w:sz w:val="24"/>
          <w:szCs w:val="24"/>
        </w:rPr>
        <w:t xml:space="preserve"> use Lawrence to campaign on</w:t>
      </w:r>
      <w:r w:rsidR="004809FC">
        <w:rPr>
          <w:rFonts w:ascii="Times New Roman" w:hAnsi="Times New Roman" w:cs="Times New Roman"/>
          <w:sz w:val="24"/>
          <w:szCs w:val="24"/>
        </w:rPr>
        <w:t xml:space="preserve"> legalizing same-sex marriage. </w:t>
      </w:r>
      <w:r w:rsidRPr="00BE72C0">
        <w:rPr>
          <w:rFonts w:ascii="Times New Roman" w:hAnsi="Times New Roman" w:cs="Times New Roman"/>
          <w:sz w:val="24"/>
          <w:szCs w:val="24"/>
        </w:rPr>
        <w:t>All the anti-sodomy laws that were existing by the time of this ruling were invalidated, irrespective of whether the couples involved were both homosexuals or one was homosexual</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Lemieux, 2019)</w:t>
      </w:r>
      <w:r w:rsidRPr="00BE72C0">
        <w:rPr>
          <w:rFonts w:ascii="Times New Roman" w:hAnsi="Times New Roman" w:cs="Times New Roman"/>
          <w:sz w:val="24"/>
          <w:szCs w:val="24"/>
        </w:rPr>
        <w:t xml:space="preserve">. </w:t>
      </w:r>
    </w:p>
    <w:p w:rsidR="00E05DD0" w:rsidRPr="004809FC" w:rsidRDefault="00E05DD0" w:rsidP="004809FC">
      <w:pPr>
        <w:spacing w:after="0" w:line="480" w:lineRule="auto"/>
        <w:contextualSpacing/>
        <w:rPr>
          <w:rFonts w:ascii="Times New Roman" w:hAnsi="Times New Roman" w:cs="Times New Roman"/>
          <w:b/>
          <w:sz w:val="24"/>
          <w:szCs w:val="24"/>
        </w:rPr>
      </w:pPr>
      <w:r w:rsidRPr="004809FC">
        <w:rPr>
          <w:rFonts w:ascii="Times New Roman" w:hAnsi="Times New Roman" w:cs="Times New Roman"/>
          <w:b/>
          <w:sz w:val="24"/>
          <w:szCs w:val="24"/>
        </w:rPr>
        <w:t>Controversy on this hearing</w:t>
      </w:r>
    </w:p>
    <w:p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The main controversy against this case was from Justice Anthony Kennedy, who was talking on behalf of the majority. He argued that people have the right to privacy protection during any sexual acts done in private. He was very firm at his decision, and it led to overruling of a   court's previous ruling that gave an opposite verdict in a similar case, Bowers v. Hardwick. Consequently, </w:t>
      </w:r>
      <w:r w:rsidR="0003485D" w:rsidRPr="00BE72C0">
        <w:rPr>
          <w:rFonts w:ascii="Times New Roman" w:hAnsi="Times New Roman" w:cs="Times New Roman"/>
          <w:sz w:val="24"/>
          <w:szCs w:val="24"/>
        </w:rPr>
        <w:t>Justice</w:t>
      </w:r>
      <w:r w:rsidRPr="00BE72C0">
        <w:rPr>
          <w:rFonts w:ascii="Times New Roman" w:hAnsi="Times New Roman" w:cs="Times New Roman"/>
          <w:sz w:val="24"/>
          <w:szCs w:val="24"/>
        </w:rPr>
        <w:t xml:space="preserve"> Anton Scalia wrote a non-conforming opinion, stating that courts should help in legally enforcing moral opposition to homosexual conduct. However, he only had the back up of two fellow </w:t>
      </w:r>
      <w:r w:rsidR="0003485D" w:rsidRPr="00BE72C0">
        <w:rPr>
          <w:rFonts w:ascii="Times New Roman" w:hAnsi="Times New Roman" w:cs="Times New Roman"/>
          <w:sz w:val="24"/>
          <w:szCs w:val="24"/>
        </w:rPr>
        <w:t>justices</w:t>
      </w:r>
      <w:r w:rsidRPr="00BE72C0">
        <w:rPr>
          <w:rFonts w:ascii="Times New Roman" w:hAnsi="Times New Roman" w:cs="Times New Roman"/>
          <w:sz w:val="24"/>
          <w:szCs w:val="24"/>
        </w:rPr>
        <w:t xml:space="preserve">. Eventually, this case became a memorable win for homosexual rights activists throughout the United States. </w:t>
      </w:r>
    </w:p>
    <w:p w:rsidR="00E05DD0" w:rsidRPr="004809FC" w:rsidRDefault="00E05DD0" w:rsidP="004809FC">
      <w:pPr>
        <w:spacing w:after="0" w:line="480" w:lineRule="auto"/>
        <w:contextualSpacing/>
        <w:jc w:val="center"/>
        <w:rPr>
          <w:rFonts w:ascii="Times New Roman" w:hAnsi="Times New Roman" w:cs="Times New Roman"/>
          <w:b/>
          <w:sz w:val="24"/>
          <w:szCs w:val="24"/>
        </w:rPr>
      </w:pPr>
      <w:r w:rsidRPr="004809FC">
        <w:rPr>
          <w:rFonts w:ascii="Times New Roman" w:hAnsi="Times New Roman" w:cs="Times New Roman"/>
          <w:b/>
          <w:sz w:val="24"/>
          <w:szCs w:val="24"/>
        </w:rPr>
        <w:t>Scholarly analysis of the case</w:t>
      </w:r>
    </w:p>
    <w:p w:rsidR="00E05DD0" w:rsidRPr="00BE72C0" w:rsidRDefault="007122F5" w:rsidP="00BE72C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Not many persons expect a </w:t>
      </w:r>
      <w:r w:rsidR="002314DB">
        <w:rPr>
          <w:rFonts w:ascii="Times New Roman" w:hAnsi="Times New Roman" w:cs="Times New Roman"/>
          <w:sz w:val="24"/>
          <w:szCs w:val="24"/>
        </w:rPr>
        <w:t>Supreme Court</w:t>
      </w:r>
      <w:r>
        <w:rPr>
          <w:rFonts w:ascii="Times New Roman" w:hAnsi="Times New Roman" w:cs="Times New Roman"/>
          <w:sz w:val="24"/>
          <w:szCs w:val="24"/>
        </w:rPr>
        <w:t xml:space="preserve"> ruling to be swift. However, in Lawrence v. Texas it</w:t>
      </w:r>
      <w:r w:rsidR="00E05DD0" w:rsidRPr="00BE72C0">
        <w:rPr>
          <w:rFonts w:ascii="Times New Roman" w:hAnsi="Times New Roman" w:cs="Times New Roman"/>
          <w:sz w:val="24"/>
          <w:szCs w:val="24"/>
        </w:rPr>
        <w:t xml:space="preserve"> was more sweeping than most people</w:t>
      </w:r>
      <w:r>
        <w:rPr>
          <w:rFonts w:ascii="Times New Roman" w:hAnsi="Times New Roman" w:cs="Times New Roman"/>
          <w:sz w:val="24"/>
          <w:szCs w:val="24"/>
        </w:rPr>
        <w:t xml:space="preserve"> </w:t>
      </w:r>
      <w:r w:rsidR="00E05DD0" w:rsidRPr="00BE72C0">
        <w:rPr>
          <w:rFonts w:ascii="Times New Roman" w:hAnsi="Times New Roman" w:cs="Times New Roman"/>
          <w:sz w:val="24"/>
          <w:szCs w:val="24"/>
        </w:rPr>
        <w:t xml:space="preserve">expected. Had the court issued a decision based on the less extensive equal protection grounds as argued by O'Connor, the judgment could have been less severe. Thus, the decision could impact in cases involving gay rights and sexual privacy amongst other issues. The judgment established that homosexual sex which is private and consensual is part of a utilitarian right to liberty as protected in the </w:t>
      </w:r>
      <w:r w:rsidR="00BE72C0" w:rsidRPr="00BE72C0">
        <w:rPr>
          <w:rFonts w:ascii="Times New Roman" w:hAnsi="Times New Roman" w:cs="Times New Roman"/>
          <w:sz w:val="24"/>
          <w:szCs w:val="24"/>
        </w:rPr>
        <w:t>constitution (</w:t>
      </w:r>
      <w:r w:rsidR="00F65E26" w:rsidRPr="00BE72C0">
        <w:rPr>
          <w:rFonts w:ascii="Times New Roman" w:hAnsi="Times New Roman" w:cs="Times New Roman"/>
          <w:sz w:val="24"/>
          <w:szCs w:val="24"/>
          <w:shd w:val="clear" w:color="auto" w:fill="FFFFFF"/>
        </w:rPr>
        <w:t>Lemieux, 2019)</w:t>
      </w:r>
      <w:r w:rsidR="00E05DD0" w:rsidRPr="00BE72C0">
        <w:rPr>
          <w:rFonts w:ascii="Times New Roman" w:hAnsi="Times New Roman" w:cs="Times New Roman"/>
          <w:sz w:val="24"/>
          <w:szCs w:val="24"/>
        </w:rPr>
        <w:t xml:space="preserve">. Given that the court issued </w:t>
      </w:r>
      <w:r w:rsidR="00CC7035">
        <w:rPr>
          <w:rFonts w:ascii="Times New Roman" w:hAnsi="Times New Roman" w:cs="Times New Roman"/>
          <w:sz w:val="24"/>
          <w:szCs w:val="24"/>
        </w:rPr>
        <w:t xml:space="preserve">a more comprehensive ruling </w:t>
      </w:r>
      <w:r w:rsidR="00E05DD0" w:rsidRPr="00BE72C0">
        <w:rPr>
          <w:rFonts w:ascii="Times New Roman" w:hAnsi="Times New Roman" w:cs="Times New Roman"/>
          <w:sz w:val="24"/>
          <w:szCs w:val="24"/>
        </w:rPr>
        <w:t>that the authorities cannot arrest people due to private, consensual, adult sexual activities, the case created a broader right to sexual privacy</w:t>
      </w:r>
      <w:r w:rsidR="000B0B9E" w:rsidRPr="00BE72C0">
        <w:rPr>
          <w:rFonts w:ascii="Times New Roman" w:hAnsi="Times New Roman" w:cs="Times New Roman"/>
          <w:sz w:val="24"/>
          <w:szCs w:val="24"/>
        </w:rPr>
        <w:t>.</w:t>
      </w:r>
    </w:p>
    <w:p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Moreover, this ruling acted as a change from the era of conservative statute ruling methods that were applicable in the eighties and nineties</w:t>
      </w:r>
      <w:r w:rsidR="004809FC">
        <w:rPr>
          <w:rFonts w:ascii="Times New Roman" w:hAnsi="Times New Roman" w:cs="Times New Roman"/>
          <w:sz w:val="24"/>
          <w:szCs w:val="24"/>
        </w:rPr>
        <w:t xml:space="preserve">. </w:t>
      </w:r>
      <w:r w:rsidRPr="00BE72C0">
        <w:rPr>
          <w:rFonts w:ascii="Times New Roman" w:hAnsi="Times New Roman" w:cs="Times New Roman"/>
          <w:sz w:val="24"/>
          <w:szCs w:val="24"/>
        </w:rPr>
        <w:t xml:space="preserve">Thus, Lawrence v. Texas ruling enhanced the privacy of sexual activities and transformed </w:t>
      </w:r>
      <w:bookmarkStart w:id="0" w:name="_GoBack"/>
      <w:bookmarkEnd w:id="0"/>
      <w:r w:rsidRPr="00BE72C0">
        <w:rPr>
          <w:rFonts w:ascii="Times New Roman" w:hAnsi="Times New Roman" w:cs="Times New Roman"/>
          <w:sz w:val="24"/>
          <w:szCs w:val="24"/>
        </w:rPr>
        <w:t xml:space="preserve">the court's power to identify personal rights above and beyond the laws that are traditionally protected under the law. </w:t>
      </w:r>
    </w:p>
    <w:p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 The court clearly stated that the traditions and constitutions support protection on personal decisions pertaining to family relations, procreation, marriage, and </w:t>
      </w:r>
      <w:r w:rsidR="00E15C6E" w:rsidRPr="00BE72C0">
        <w:rPr>
          <w:rFonts w:ascii="Times New Roman" w:hAnsi="Times New Roman" w:cs="Times New Roman"/>
          <w:sz w:val="24"/>
          <w:szCs w:val="24"/>
        </w:rPr>
        <w:t>contraception (</w:t>
      </w:r>
      <w:r w:rsidR="00CA482F" w:rsidRPr="00BE72C0">
        <w:rPr>
          <w:rFonts w:ascii="Times New Roman" w:hAnsi="Times New Roman" w:cs="Times New Roman"/>
          <w:sz w:val="24"/>
          <w:szCs w:val="24"/>
          <w:shd w:val="clear" w:color="auto" w:fill="FFFFFF"/>
        </w:rPr>
        <w:t>Lemieux, 2019)</w:t>
      </w:r>
      <w:r w:rsidRPr="00BE72C0">
        <w:rPr>
          <w:rFonts w:ascii="Times New Roman" w:hAnsi="Times New Roman" w:cs="Times New Roman"/>
          <w:sz w:val="24"/>
          <w:szCs w:val="24"/>
        </w:rPr>
        <w:t xml:space="preserve">. If Lawrence is seen to have established an extensive constitutional right to sexual privacy, it can be translated that the court's decision supports challenges to laws which ban policies like gay adoption or same-sex </w:t>
      </w:r>
      <w:r w:rsidR="004809FC">
        <w:rPr>
          <w:rFonts w:ascii="Times New Roman" w:hAnsi="Times New Roman" w:cs="Times New Roman"/>
          <w:sz w:val="24"/>
          <w:szCs w:val="24"/>
        </w:rPr>
        <w:t>marriage.</w:t>
      </w:r>
    </w:p>
    <w:p w:rsidR="00E05DD0" w:rsidRPr="004809FC" w:rsidRDefault="00E05DD0" w:rsidP="004809FC">
      <w:pPr>
        <w:spacing w:after="0" w:line="480" w:lineRule="auto"/>
        <w:ind w:firstLine="720"/>
        <w:contextualSpacing/>
        <w:jc w:val="center"/>
        <w:rPr>
          <w:rFonts w:ascii="Times New Roman" w:hAnsi="Times New Roman" w:cs="Times New Roman"/>
          <w:b/>
          <w:sz w:val="24"/>
          <w:szCs w:val="24"/>
        </w:rPr>
      </w:pPr>
      <w:r w:rsidRPr="004809FC">
        <w:rPr>
          <w:rFonts w:ascii="Times New Roman" w:hAnsi="Times New Roman" w:cs="Times New Roman"/>
          <w:b/>
          <w:sz w:val="24"/>
          <w:szCs w:val="24"/>
        </w:rPr>
        <w:t>Conclusion</w:t>
      </w:r>
    </w:p>
    <w:p w:rsidR="00693095" w:rsidRPr="004809FC" w:rsidRDefault="00E05DD0" w:rsidP="004809FC">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The case Lawrence v. Texas (530 U. S 553) was nullified in Texas court, but the petitioners appealed in the </w:t>
      </w:r>
      <w:r w:rsidR="002314DB" w:rsidRPr="00BE72C0">
        <w:rPr>
          <w:rFonts w:ascii="Times New Roman" w:hAnsi="Times New Roman" w:cs="Times New Roman"/>
          <w:sz w:val="24"/>
          <w:szCs w:val="24"/>
        </w:rPr>
        <w:t>Supreme Court</w:t>
      </w:r>
      <w:r w:rsidR="004809FC">
        <w:rPr>
          <w:rFonts w:ascii="Times New Roman" w:hAnsi="Times New Roman" w:cs="Times New Roman"/>
          <w:sz w:val="24"/>
          <w:szCs w:val="24"/>
        </w:rPr>
        <w:t xml:space="preserve">. </w:t>
      </w:r>
      <w:r w:rsidRPr="00BE72C0">
        <w:rPr>
          <w:rFonts w:ascii="Times New Roman" w:hAnsi="Times New Roman" w:cs="Times New Roman"/>
          <w:sz w:val="24"/>
          <w:szCs w:val="24"/>
        </w:rPr>
        <w:t xml:space="preserve">Had the court used the </w:t>
      </w:r>
      <w:r w:rsidR="00826BC6" w:rsidRPr="00BE72C0">
        <w:rPr>
          <w:rFonts w:ascii="Times New Roman" w:hAnsi="Times New Roman" w:cs="Times New Roman"/>
          <w:sz w:val="24"/>
          <w:szCs w:val="24"/>
        </w:rPr>
        <w:t>narrower</w:t>
      </w:r>
      <w:r w:rsidRPr="00BE72C0">
        <w:rPr>
          <w:rFonts w:ascii="Times New Roman" w:hAnsi="Times New Roman" w:cs="Times New Roman"/>
          <w:sz w:val="24"/>
          <w:szCs w:val="24"/>
        </w:rPr>
        <w:t xml:space="preserve"> O'Conner equal rights idea, the court could have only advanced a rational reason for endorsing a statute which treats people differently on the</w:t>
      </w:r>
      <w:r w:rsidR="004809FC">
        <w:rPr>
          <w:rFonts w:ascii="Times New Roman" w:hAnsi="Times New Roman" w:cs="Times New Roman"/>
          <w:sz w:val="24"/>
          <w:szCs w:val="24"/>
        </w:rPr>
        <w:t xml:space="preserve"> basis of their sexual identity.</w:t>
      </w:r>
    </w:p>
    <w:p w:rsidR="006168CB" w:rsidRPr="004809FC" w:rsidRDefault="006168CB" w:rsidP="00BE72C0">
      <w:pPr>
        <w:spacing w:after="0" w:line="480" w:lineRule="auto"/>
        <w:contextualSpacing/>
        <w:jc w:val="center"/>
        <w:rPr>
          <w:rFonts w:ascii="Times New Roman" w:hAnsi="Times New Roman" w:cs="Times New Roman"/>
          <w:b/>
          <w:sz w:val="24"/>
          <w:szCs w:val="24"/>
        </w:rPr>
      </w:pPr>
      <w:r w:rsidRPr="004809FC">
        <w:rPr>
          <w:rFonts w:ascii="Times New Roman" w:hAnsi="Times New Roman" w:cs="Times New Roman"/>
          <w:b/>
          <w:sz w:val="24"/>
          <w:szCs w:val="24"/>
        </w:rPr>
        <w:lastRenderedPageBreak/>
        <w:t>Reference</w:t>
      </w:r>
    </w:p>
    <w:p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proofErr w:type="gramStart"/>
      <w:r w:rsidRPr="00BE72C0">
        <w:rPr>
          <w:rFonts w:ascii="Times New Roman" w:hAnsi="Times New Roman" w:cs="Times New Roman"/>
          <w:sz w:val="24"/>
          <w:szCs w:val="24"/>
          <w:shd w:val="clear" w:color="auto" w:fill="FFFFFF"/>
        </w:rPr>
        <w:t>LAWRENCE V. TEXAS.</w:t>
      </w:r>
      <w:proofErr w:type="gramEnd"/>
      <w:r w:rsidRPr="00BE72C0">
        <w:rPr>
          <w:rFonts w:ascii="Times New Roman" w:hAnsi="Times New Roman" w:cs="Times New Roman"/>
          <w:sz w:val="24"/>
          <w:szCs w:val="24"/>
          <w:shd w:val="clear" w:color="auto" w:fill="FFFFFF"/>
        </w:rPr>
        <w:t xml:space="preserve"> (2019). Retrieved from </w:t>
      </w:r>
      <w:hyperlink r:id="rId6" w:history="1">
        <w:r w:rsidRPr="00BE72C0">
          <w:rPr>
            <w:rStyle w:val="Hyperlink"/>
            <w:rFonts w:ascii="Times New Roman" w:hAnsi="Times New Roman" w:cs="Times New Roman"/>
            <w:color w:val="auto"/>
            <w:sz w:val="24"/>
            <w:szCs w:val="24"/>
            <w:shd w:val="clear" w:color="auto" w:fill="FFFFFF"/>
          </w:rPr>
          <w:t>https://www.law.cornell.edu/supct/html/02-102.ZO.html</w:t>
        </w:r>
      </w:hyperlink>
    </w:p>
    <w:p w:rsidR="00BE72C0" w:rsidRPr="00BE72C0" w:rsidRDefault="00BE72C0" w:rsidP="00BE72C0">
      <w:pPr>
        <w:spacing w:after="0" w:line="480" w:lineRule="auto"/>
        <w:ind w:left="720" w:hanging="720"/>
        <w:contextualSpacing/>
        <w:rPr>
          <w:rFonts w:ascii="Times New Roman" w:hAnsi="Times New Roman" w:cs="Times New Roman"/>
          <w:sz w:val="24"/>
          <w:szCs w:val="24"/>
        </w:rPr>
      </w:pPr>
      <w:proofErr w:type="gramStart"/>
      <w:r w:rsidRPr="00BE72C0">
        <w:rPr>
          <w:rFonts w:ascii="Times New Roman" w:hAnsi="Times New Roman" w:cs="Times New Roman"/>
          <w:sz w:val="24"/>
          <w:szCs w:val="24"/>
          <w:shd w:val="clear" w:color="auto" w:fill="FFFFFF"/>
        </w:rPr>
        <w:t>Lemieux, S. (2019).</w:t>
      </w:r>
      <w:proofErr w:type="gramEnd"/>
      <w:r w:rsidRPr="00BE72C0">
        <w:rPr>
          <w:rFonts w:ascii="Times New Roman" w:hAnsi="Times New Roman" w:cs="Times New Roman"/>
          <w:sz w:val="24"/>
          <w:szCs w:val="24"/>
          <w:shd w:val="clear" w:color="auto" w:fill="FFFFFF"/>
        </w:rPr>
        <w:t xml:space="preserve"> How the </w:t>
      </w:r>
      <w:proofErr w:type="gramStart"/>
      <w:r w:rsidRPr="00BE72C0">
        <w:rPr>
          <w:rFonts w:ascii="Times New Roman" w:hAnsi="Times New Roman" w:cs="Times New Roman"/>
          <w:sz w:val="24"/>
          <w:szCs w:val="24"/>
          <w:shd w:val="clear" w:color="auto" w:fill="FFFFFF"/>
        </w:rPr>
        <w:t>supreme court</w:t>
      </w:r>
      <w:proofErr w:type="gramEnd"/>
      <w:r w:rsidRPr="00BE72C0">
        <w:rPr>
          <w:rFonts w:ascii="Times New Roman" w:hAnsi="Times New Roman" w:cs="Times New Roman"/>
          <w:sz w:val="24"/>
          <w:szCs w:val="24"/>
          <w:shd w:val="clear" w:color="auto" w:fill="FFFFFF"/>
        </w:rPr>
        <w:t xml:space="preserve"> learned to love gay couples | Scott Lemieux. Retrieved from https://www.theguardian.com/commentisfree/2016/mar/07/supreme-court-gay-couples-same-sex-lgbt</w:t>
      </w:r>
    </w:p>
    <w:p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McGuire, K. (2017). Why a postwar legal debate over the impact of private sex still matters today. </w:t>
      </w:r>
      <w:proofErr w:type="gramStart"/>
      <w:r w:rsidRPr="00BE72C0">
        <w:rPr>
          <w:rFonts w:ascii="Times New Roman" w:hAnsi="Times New Roman" w:cs="Times New Roman"/>
          <w:i/>
          <w:iCs/>
          <w:sz w:val="24"/>
          <w:szCs w:val="24"/>
          <w:shd w:val="clear" w:color="auto" w:fill="FFFFFF"/>
        </w:rPr>
        <w:t>The Conversation</w:t>
      </w:r>
      <w:r w:rsidRPr="00BE72C0">
        <w:rPr>
          <w:rFonts w:ascii="Times New Roman" w:hAnsi="Times New Roman" w:cs="Times New Roman"/>
          <w:sz w:val="24"/>
          <w:szCs w:val="24"/>
          <w:shd w:val="clear" w:color="auto" w:fill="FFFFFF"/>
        </w:rPr>
        <w:t>.</w:t>
      </w:r>
      <w:proofErr w:type="gramEnd"/>
    </w:p>
    <w:p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CC7035">
        <w:rPr>
          <w:rFonts w:ascii="Times New Roman" w:hAnsi="Times New Roman" w:cs="Times New Roman"/>
          <w:sz w:val="24"/>
          <w:szCs w:val="24"/>
        </w:rPr>
        <w:t>Romero, V. C. (2017).</w:t>
      </w:r>
      <w:r w:rsidRPr="00CC7035">
        <w:rPr>
          <w:rFonts w:ascii="Times New Roman" w:hAnsi="Times New Roman" w:cs="Times New Roman"/>
          <w:sz w:val="24"/>
          <w:szCs w:val="24"/>
          <w:shd w:val="clear" w:color="auto" w:fill="FFFFFF"/>
        </w:rPr>
        <w:t xml:space="preserve"> </w:t>
      </w:r>
      <w:proofErr w:type="gramStart"/>
      <w:r w:rsidRPr="00CC7035">
        <w:rPr>
          <w:rFonts w:ascii="Times New Roman" w:hAnsi="Times New Roman" w:cs="Times New Roman"/>
          <w:sz w:val="24"/>
          <w:szCs w:val="24"/>
          <w:shd w:val="clear" w:color="auto" w:fill="FFFFFF"/>
        </w:rPr>
        <w:t>An" Other" Christian Perspective on Lawrence V. Texas.</w:t>
      </w:r>
      <w:proofErr w:type="gramEnd"/>
      <w:r w:rsidRPr="00CC7035">
        <w:rPr>
          <w:rFonts w:ascii="Times New Roman" w:hAnsi="Times New Roman" w:cs="Times New Roman"/>
          <w:sz w:val="24"/>
          <w:szCs w:val="24"/>
          <w:shd w:val="clear" w:color="auto" w:fill="FFFFFF"/>
        </w:rPr>
        <w:t> </w:t>
      </w:r>
      <w:proofErr w:type="gramStart"/>
      <w:r w:rsidRPr="00CC7035">
        <w:rPr>
          <w:rFonts w:ascii="Times New Roman" w:hAnsi="Times New Roman" w:cs="Times New Roman"/>
          <w:i/>
          <w:iCs/>
          <w:sz w:val="24"/>
          <w:szCs w:val="24"/>
          <w:shd w:val="clear" w:color="auto" w:fill="FFFFFF"/>
        </w:rPr>
        <w:t>Journal of Catholic Legal Studies</w:t>
      </w:r>
      <w:r w:rsidRPr="00CC7035">
        <w:rPr>
          <w:rFonts w:ascii="Times New Roman" w:hAnsi="Times New Roman" w:cs="Times New Roman"/>
          <w:sz w:val="24"/>
          <w:szCs w:val="24"/>
          <w:shd w:val="clear" w:color="auto" w:fill="FFFFFF"/>
        </w:rPr>
        <w:t>, </w:t>
      </w:r>
      <w:r w:rsidRPr="00CC7035">
        <w:rPr>
          <w:rFonts w:ascii="Times New Roman" w:hAnsi="Times New Roman" w:cs="Times New Roman"/>
          <w:i/>
          <w:iCs/>
          <w:sz w:val="24"/>
          <w:szCs w:val="24"/>
          <w:shd w:val="clear" w:color="auto" w:fill="FFFFFF"/>
        </w:rPr>
        <w:t>45</w:t>
      </w:r>
      <w:r w:rsidRPr="00CC7035">
        <w:rPr>
          <w:rFonts w:ascii="Times New Roman" w:hAnsi="Times New Roman" w:cs="Times New Roman"/>
          <w:sz w:val="24"/>
          <w:szCs w:val="24"/>
          <w:shd w:val="clear" w:color="auto" w:fill="FFFFFF"/>
        </w:rPr>
        <w:t>(1), 7.</w:t>
      </w:r>
      <w:proofErr w:type="gramEnd"/>
    </w:p>
    <w:p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p>
    <w:sectPr w:rsidR="00BE72C0" w:rsidRPr="00BE72C0" w:rsidSect="00A90D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15A" w:rsidRDefault="00D0715A" w:rsidP="00A90D9C">
      <w:pPr>
        <w:spacing w:after="0" w:line="240" w:lineRule="auto"/>
      </w:pPr>
      <w:r>
        <w:separator/>
      </w:r>
    </w:p>
  </w:endnote>
  <w:endnote w:type="continuationSeparator" w:id="0">
    <w:p w:rsidR="00D0715A" w:rsidRDefault="00D0715A" w:rsidP="00A90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15A" w:rsidRDefault="00D0715A" w:rsidP="00A90D9C">
      <w:pPr>
        <w:spacing w:after="0" w:line="240" w:lineRule="auto"/>
      </w:pPr>
      <w:r>
        <w:separator/>
      </w:r>
    </w:p>
  </w:footnote>
  <w:footnote w:type="continuationSeparator" w:id="0">
    <w:p w:rsidR="00D0715A" w:rsidRDefault="00D0715A" w:rsidP="00A90D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C0" w:rsidRPr="00BE72C0" w:rsidRDefault="004809FC" w:rsidP="00A73170">
    <w:pPr>
      <w:pStyle w:val="Header"/>
      <w:rPr>
        <w:rFonts w:ascii="Times New Roman" w:hAnsi="Times New Roman" w:cs="Times New Roman"/>
        <w:sz w:val="24"/>
        <w:szCs w:val="24"/>
      </w:rPr>
    </w:pPr>
    <w:r w:rsidRPr="00A90D9C">
      <w:rPr>
        <w:rFonts w:ascii="Times New Roman" w:hAnsi="Times New Roman" w:cs="Times New Roman"/>
        <w:sz w:val="24"/>
        <w:szCs w:val="24"/>
      </w:rPr>
      <w:t>LAW</w:t>
    </w:r>
    <w:r>
      <w:rPr>
        <w:rFonts w:ascii="Times New Roman" w:hAnsi="Times New Roman" w:cs="Times New Roman"/>
        <w:sz w:val="24"/>
        <w:szCs w:val="24"/>
      </w:rPr>
      <w:t>RENCE V. TEXAS</w:t>
    </w:r>
    <w:r w:rsidR="007122F5">
      <w:rPr>
        <w:rFonts w:ascii="Times New Roman" w:hAnsi="Times New Roman" w:cs="Times New Roman"/>
        <w:sz w:val="24"/>
        <w:szCs w:val="24"/>
      </w:rPr>
      <w:tab/>
    </w:r>
    <w:r w:rsidR="00A73170">
      <w:rPr>
        <w:rFonts w:ascii="Times New Roman" w:hAnsi="Times New Roman" w:cs="Times New Roman"/>
        <w:sz w:val="24"/>
        <w:szCs w:val="24"/>
      </w:rPr>
      <w:tab/>
    </w:r>
    <w:r w:rsidR="00BE72C0" w:rsidRPr="00BE72C0">
      <w:rPr>
        <w:rFonts w:ascii="Times New Roman" w:hAnsi="Times New Roman" w:cs="Times New Roman"/>
        <w:sz w:val="24"/>
        <w:szCs w:val="24"/>
      </w:rPr>
      <w:t xml:space="preserve">     </w:t>
    </w:r>
    <w:r w:rsidR="00BE72C0">
      <w:rPr>
        <w:rFonts w:ascii="Times New Roman" w:hAnsi="Times New Roman" w:cs="Times New Roman"/>
        <w:sz w:val="24"/>
        <w:szCs w:val="24"/>
      </w:rPr>
      <w:t xml:space="preserve">                          </w:t>
    </w:r>
    <w:r w:rsidR="00BE72C0" w:rsidRPr="00BE72C0">
      <w:rPr>
        <w:rFonts w:ascii="Times New Roman" w:hAnsi="Times New Roman" w:cs="Times New Roman"/>
        <w:sz w:val="24"/>
        <w:szCs w:val="24"/>
      </w:rPr>
      <w:t xml:space="preserve">                                    </w:t>
    </w:r>
    <w:sdt>
      <w:sdtPr>
        <w:rPr>
          <w:rFonts w:ascii="Times New Roman" w:hAnsi="Times New Roman" w:cs="Times New Roman"/>
          <w:sz w:val="24"/>
          <w:szCs w:val="24"/>
        </w:rPr>
        <w:id w:val="669533534"/>
        <w:docPartObj>
          <w:docPartGallery w:val="Page Numbers (Top of Page)"/>
          <w:docPartUnique/>
        </w:docPartObj>
      </w:sdtPr>
      <w:sdtEndPr>
        <w:rPr>
          <w:noProof/>
        </w:rPr>
      </w:sdtEndPr>
      <w:sdtContent>
        <w:r w:rsidR="00C877B5" w:rsidRPr="00BE72C0">
          <w:rPr>
            <w:rFonts w:ascii="Times New Roman" w:hAnsi="Times New Roman" w:cs="Times New Roman"/>
            <w:sz w:val="24"/>
            <w:szCs w:val="24"/>
          </w:rPr>
          <w:fldChar w:fldCharType="begin"/>
        </w:r>
        <w:r w:rsidR="00BE72C0" w:rsidRPr="00BE72C0">
          <w:rPr>
            <w:rFonts w:ascii="Times New Roman" w:hAnsi="Times New Roman" w:cs="Times New Roman"/>
            <w:sz w:val="24"/>
            <w:szCs w:val="24"/>
          </w:rPr>
          <w:instrText xml:space="preserve"> PAGE   \* MERGEFORMAT </w:instrText>
        </w:r>
        <w:r w:rsidR="00C877B5" w:rsidRPr="00BE72C0">
          <w:rPr>
            <w:rFonts w:ascii="Times New Roman" w:hAnsi="Times New Roman" w:cs="Times New Roman"/>
            <w:sz w:val="24"/>
            <w:szCs w:val="24"/>
          </w:rPr>
          <w:fldChar w:fldCharType="separate"/>
        </w:r>
        <w:r w:rsidR="0003485D">
          <w:rPr>
            <w:rFonts w:ascii="Times New Roman" w:hAnsi="Times New Roman" w:cs="Times New Roman"/>
            <w:noProof/>
            <w:sz w:val="24"/>
            <w:szCs w:val="24"/>
          </w:rPr>
          <w:t>5</w:t>
        </w:r>
        <w:r w:rsidR="00C877B5" w:rsidRPr="00BE72C0">
          <w:rPr>
            <w:rFonts w:ascii="Times New Roman" w:hAnsi="Times New Roman" w:cs="Times New Roman"/>
            <w:noProof/>
            <w:sz w:val="24"/>
            <w:szCs w:val="24"/>
          </w:rPr>
          <w:fldChar w:fldCharType="end"/>
        </w:r>
      </w:sdtContent>
    </w:sdt>
  </w:p>
  <w:p w:rsidR="00BE72C0" w:rsidRDefault="00BE72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C" w:rsidRPr="00A90D9C" w:rsidRDefault="00A90D9C">
    <w:pPr>
      <w:pStyle w:val="Header"/>
      <w:jc w:val="right"/>
      <w:rPr>
        <w:rFonts w:ascii="Times New Roman" w:hAnsi="Times New Roman" w:cs="Times New Roman"/>
        <w:sz w:val="24"/>
        <w:szCs w:val="24"/>
      </w:rPr>
    </w:pPr>
    <w:r w:rsidRPr="00A90D9C">
      <w:rPr>
        <w:rFonts w:ascii="Times New Roman" w:hAnsi="Times New Roman" w:cs="Times New Roman"/>
        <w:sz w:val="24"/>
        <w:szCs w:val="24"/>
      </w:rPr>
      <w:t>Running head: LAW</w:t>
    </w:r>
    <w:r w:rsidR="002314DB">
      <w:rPr>
        <w:rFonts w:ascii="Times New Roman" w:hAnsi="Times New Roman" w:cs="Times New Roman"/>
        <w:sz w:val="24"/>
        <w:szCs w:val="24"/>
      </w:rPr>
      <w:t xml:space="preserve">RENCE V. TEXAS </w:t>
    </w:r>
    <w:r w:rsidR="002314DB">
      <w:rPr>
        <w:rFonts w:ascii="Times New Roman" w:hAnsi="Times New Roman" w:cs="Times New Roman"/>
        <w:sz w:val="24"/>
        <w:szCs w:val="24"/>
      </w:rPr>
      <w:tab/>
    </w:r>
    <w:r w:rsidR="002314DB">
      <w:rPr>
        <w:rFonts w:ascii="Times New Roman" w:hAnsi="Times New Roman" w:cs="Times New Roman"/>
        <w:sz w:val="24"/>
        <w:szCs w:val="24"/>
      </w:rPr>
      <w:tab/>
    </w:r>
    <w:r w:rsidRPr="00A90D9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0D9C">
      <w:rPr>
        <w:rFonts w:ascii="Times New Roman" w:hAnsi="Times New Roman" w:cs="Times New Roman"/>
        <w:sz w:val="24"/>
        <w:szCs w:val="24"/>
      </w:rPr>
      <w:t xml:space="preserve">   </w:t>
    </w:r>
    <w:sdt>
      <w:sdtPr>
        <w:rPr>
          <w:rFonts w:ascii="Times New Roman" w:hAnsi="Times New Roman" w:cs="Times New Roman"/>
          <w:sz w:val="24"/>
          <w:szCs w:val="24"/>
        </w:rPr>
        <w:id w:val="-2023224212"/>
        <w:docPartObj>
          <w:docPartGallery w:val="Page Numbers (Top of Page)"/>
          <w:docPartUnique/>
        </w:docPartObj>
      </w:sdtPr>
      <w:sdtEndPr>
        <w:rPr>
          <w:noProof/>
        </w:rPr>
      </w:sdtEndPr>
      <w:sdtContent>
        <w:r w:rsidR="00C877B5" w:rsidRPr="00A90D9C">
          <w:rPr>
            <w:rFonts w:ascii="Times New Roman" w:hAnsi="Times New Roman" w:cs="Times New Roman"/>
            <w:sz w:val="24"/>
            <w:szCs w:val="24"/>
          </w:rPr>
          <w:fldChar w:fldCharType="begin"/>
        </w:r>
        <w:r w:rsidRPr="00A90D9C">
          <w:rPr>
            <w:rFonts w:ascii="Times New Roman" w:hAnsi="Times New Roman" w:cs="Times New Roman"/>
            <w:sz w:val="24"/>
            <w:szCs w:val="24"/>
          </w:rPr>
          <w:instrText xml:space="preserve"> PAGE   \* MERGEFORMAT </w:instrText>
        </w:r>
        <w:r w:rsidR="00C877B5" w:rsidRPr="00A90D9C">
          <w:rPr>
            <w:rFonts w:ascii="Times New Roman" w:hAnsi="Times New Roman" w:cs="Times New Roman"/>
            <w:sz w:val="24"/>
            <w:szCs w:val="24"/>
          </w:rPr>
          <w:fldChar w:fldCharType="separate"/>
        </w:r>
        <w:r w:rsidR="0003485D">
          <w:rPr>
            <w:rFonts w:ascii="Times New Roman" w:hAnsi="Times New Roman" w:cs="Times New Roman"/>
            <w:noProof/>
            <w:sz w:val="24"/>
            <w:szCs w:val="24"/>
          </w:rPr>
          <w:t>1</w:t>
        </w:r>
        <w:r w:rsidR="00C877B5" w:rsidRPr="00A90D9C">
          <w:rPr>
            <w:rFonts w:ascii="Times New Roman" w:hAnsi="Times New Roman" w:cs="Times New Roman"/>
            <w:noProof/>
            <w:sz w:val="24"/>
            <w:szCs w:val="24"/>
          </w:rPr>
          <w:fldChar w:fldCharType="end"/>
        </w:r>
      </w:sdtContent>
    </w:sdt>
  </w:p>
  <w:p w:rsidR="00A90D9C" w:rsidRDefault="00A90D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27F92"/>
    <w:rsid w:val="0003485D"/>
    <w:rsid w:val="000A68B5"/>
    <w:rsid w:val="000B0B9E"/>
    <w:rsid w:val="000F5171"/>
    <w:rsid w:val="00116DD7"/>
    <w:rsid w:val="001906C3"/>
    <w:rsid w:val="001929EF"/>
    <w:rsid w:val="002314DB"/>
    <w:rsid w:val="0026029A"/>
    <w:rsid w:val="00275806"/>
    <w:rsid w:val="00293AB7"/>
    <w:rsid w:val="002E26BF"/>
    <w:rsid w:val="003248EE"/>
    <w:rsid w:val="0032713D"/>
    <w:rsid w:val="00363107"/>
    <w:rsid w:val="003B28B6"/>
    <w:rsid w:val="003D32ED"/>
    <w:rsid w:val="003F5523"/>
    <w:rsid w:val="004809FC"/>
    <w:rsid w:val="004933CC"/>
    <w:rsid w:val="004C3C14"/>
    <w:rsid w:val="004D1890"/>
    <w:rsid w:val="00543726"/>
    <w:rsid w:val="00545B95"/>
    <w:rsid w:val="005A1CD8"/>
    <w:rsid w:val="006023F0"/>
    <w:rsid w:val="006168CB"/>
    <w:rsid w:val="00693095"/>
    <w:rsid w:val="006A50DA"/>
    <w:rsid w:val="007122F5"/>
    <w:rsid w:val="0071599D"/>
    <w:rsid w:val="00725FCE"/>
    <w:rsid w:val="00745214"/>
    <w:rsid w:val="007855F1"/>
    <w:rsid w:val="007B30D8"/>
    <w:rsid w:val="00826BC6"/>
    <w:rsid w:val="008D464E"/>
    <w:rsid w:val="00931E9B"/>
    <w:rsid w:val="00993AAB"/>
    <w:rsid w:val="00996764"/>
    <w:rsid w:val="009B28F2"/>
    <w:rsid w:val="009B3666"/>
    <w:rsid w:val="009F6A37"/>
    <w:rsid w:val="00A304C3"/>
    <w:rsid w:val="00A6479D"/>
    <w:rsid w:val="00A73170"/>
    <w:rsid w:val="00A771BC"/>
    <w:rsid w:val="00A90D9C"/>
    <w:rsid w:val="00AC0B62"/>
    <w:rsid w:val="00B47DF6"/>
    <w:rsid w:val="00B72E86"/>
    <w:rsid w:val="00BE56F6"/>
    <w:rsid w:val="00BE72C0"/>
    <w:rsid w:val="00C31452"/>
    <w:rsid w:val="00C877B5"/>
    <w:rsid w:val="00C974CF"/>
    <w:rsid w:val="00CA482F"/>
    <w:rsid w:val="00CB1C40"/>
    <w:rsid w:val="00CC7035"/>
    <w:rsid w:val="00CD7A9F"/>
    <w:rsid w:val="00CE2E31"/>
    <w:rsid w:val="00D0715A"/>
    <w:rsid w:val="00D27F92"/>
    <w:rsid w:val="00D80111"/>
    <w:rsid w:val="00DB5B03"/>
    <w:rsid w:val="00DF0F4A"/>
    <w:rsid w:val="00E05DD0"/>
    <w:rsid w:val="00E06D5B"/>
    <w:rsid w:val="00E10767"/>
    <w:rsid w:val="00E15C6E"/>
    <w:rsid w:val="00E4728C"/>
    <w:rsid w:val="00E80F9D"/>
    <w:rsid w:val="00EB43EF"/>
    <w:rsid w:val="00F2111E"/>
    <w:rsid w:val="00F65E26"/>
    <w:rsid w:val="00FE2265"/>
    <w:rsid w:val="00FE4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E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5F1"/>
    <w:rPr>
      <w:color w:val="0000FF"/>
      <w:u w:val="single"/>
    </w:rPr>
  </w:style>
  <w:style w:type="character" w:customStyle="1" w:styleId="UnresolvedMention">
    <w:name w:val="Unresolved Mention"/>
    <w:basedOn w:val="DefaultParagraphFont"/>
    <w:uiPriority w:val="99"/>
    <w:semiHidden/>
    <w:unhideWhenUsed/>
    <w:rsid w:val="006168CB"/>
    <w:rPr>
      <w:color w:val="605E5C"/>
      <w:shd w:val="clear" w:color="auto" w:fill="E1DFDD"/>
    </w:rPr>
  </w:style>
  <w:style w:type="paragraph" w:styleId="Header">
    <w:name w:val="header"/>
    <w:basedOn w:val="Normal"/>
    <w:link w:val="HeaderChar"/>
    <w:uiPriority w:val="99"/>
    <w:unhideWhenUsed/>
    <w:rsid w:val="00A9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9C"/>
  </w:style>
  <w:style w:type="paragraph" w:styleId="Footer">
    <w:name w:val="footer"/>
    <w:basedOn w:val="Normal"/>
    <w:link w:val="FooterChar"/>
    <w:uiPriority w:val="99"/>
    <w:unhideWhenUsed/>
    <w:rsid w:val="00A9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9C"/>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supct/html/02-102.ZO.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SITA - Corporate Desktop</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2019-04-08T17:33:00Z</dcterms:created>
  <dcterms:modified xsi:type="dcterms:W3CDTF">2019-04-08T17:33:00Z</dcterms:modified>
</cp:coreProperties>
</file>